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3E" w:rsidRDefault="00D0724A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2606040</wp:posOffset>
            </wp:positionH>
            <wp:positionV relativeFrom="paragraph">
              <wp:posOffset>108585</wp:posOffset>
            </wp:positionV>
            <wp:extent cx="716280" cy="890270"/>
            <wp:effectExtent l="0" t="0" r="0" b="0"/>
            <wp:wrapTopAndBottom/>
            <wp:docPr id="1" name="Рисунок 41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1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РЫБИНСКИЙ МУНИЦИПАЛЬНЫЙ ОКРУГ</w:t>
      </w:r>
    </w:p>
    <w:p w:rsidR="00381A3E" w:rsidRDefault="00D0724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</w:p>
    <w:p w:rsidR="00381A3E" w:rsidRDefault="00D0724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МУНИЦИПАЛЬНОГО ОКРУГА</w:t>
      </w:r>
    </w:p>
    <w:p w:rsidR="00381A3E" w:rsidRDefault="00381A3E">
      <w:pPr>
        <w:jc w:val="center"/>
        <w:rPr>
          <w:rFonts w:ascii="Arial" w:hAnsi="Arial" w:cs="Arial"/>
          <w:sz w:val="24"/>
          <w:szCs w:val="24"/>
        </w:rPr>
      </w:pPr>
    </w:p>
    <w:p w:rsidR="00381A3E" w:rsidRDefault="00D0724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ПОСТАНОВЛЕНИЕ </w:t>
      </w:r>
    </w:p>
    <w:p w:rsidR="00381A3E" w:rsidRDefault="00381A3E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f6"/>
        <w:tblW w:w="9746" w:type="dxa"/>
        <w:tblInd w:w="-68" w:type="dxa"/>
        <w:tblLayout w:type="fixed"/>
        <w:tblLook w:val="04A0"/>
      </w:tblPr>
      <w:tblGrid>
        <w:gridCol w:w="3365"/>
        <w:gridCol w:w="3190"/>
        <w:gridCol w:w="3191"/>
      </w:tblGrid>
      <w:tr w:rsidR="00381A3E"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381A3E" w:rsidRDefault="00D0724A">
            <w:pPr>
              <w:pStyle w:val="ConsPlusNonformat"/>
              <w:widowControl/>
              <w:tabs>
                <w:tab w:val="left" w:pos="2445"/>
              </w:tabs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 </w:t>
            </w:r>
            <w:r w:rsidR="00431550" w:rsidRPr="0043155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31" type="#_x0000_t75" style="position:absolute;margin-left:-.9pt;margin-top:0;width:198.4pt;height:28.3pt;z-index:251655680;mso-wrap-style:none;mso-position-horizontal-relative:char;mso-position-vertical-relative:text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381A3E" w:rsidRDefault="00D0724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381A3E" w:rsidRDefault="00381A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81A3E" w:rsidRDefault="00381A3E">
      <w:pPr>
        <w:pStyle w:val="ConsPlusNonformat"/>
        <w:widowControl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381A3E" w:rsidRDefault="00D072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комиссиях по проведению оценки обеспечения готовности к отопительному периоду 2026 – 2027 годов</w:t>
      </w:r>
    </w:p>
    <w:p w:rsidR="00381A3E" w:rsidRDefault="00381A3E">
      <w:pPr>
        <w:ind w:firstLine="709"/>
        <w:rPr>
          <w:rFonts w:ascii="Arial" w:hAnsi="Arial" w:cs="Arial"/>
          <w:sz w:val="24"/>
          <w:szCs w:val="24"/>
        </w:rPr>
      </w:pPr>
    </w:p>
    <w:p w:rsidR="00381A3E" w:rsidRDefault="00D0724A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соответствии со статьей 20 Федерального закона от 27.07.2010 № 190-ФЗ «О теплоснабжении», пунктом 4 Порядка проведения оценки обеспечения готовности к отопительному периоду, утвержденного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руководствуясь Уставом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края, ПОСТАНОВЛЯЮ:</w:t>
      </w:r>
      <w:proofErr w:type="gramEnd"/>
    </w:p>
    <w:p w:rsidR="00381A3E" w:rsidRDefault="00D0724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Создать комиссии по проведению оценки обеспечения готовности к отопительному периоду 2026 – 2027 годов:</w:t>
      </w:r>
    </w:p>
    <w:p w:rsidR="00381A3E" w:rsidRDefault="00D0724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Комиссию по проведению оценки обеспечения готовности к отопительному периоду 2026 – 2027 годов теплоснабжающих организаций, имеющих статус единой теплоснабжающей организации, в составе согласно приложению № 1;</w:t>
      </w:r>
    </w:p>
    <w:p w:rsidR="00381A3E" w:rsidRDefault="00D0724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Комиссию по проведению оценки обеспечения готовности к отопительному периоду 2026 – 2027 годов потребителей тепловой энергии, за исключением потребителей тепловой энергии, у которых договоры теплоснабжения заключены в соответствии с жилищным законодательством, в составе согласно приложению № 2;</w:t>
      </w:r>
    </w:p>
    <w:p w:rsidR="00381A3E" w:rsidRDefault="00D0724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proofErr w:type="gramStart"/>
      <w:r>
        <w:rPr>
          <w:rFonts w:ascii="Arial" w:hAnsi="Arial" w:cs="Arial"/>
          <w:sz w:val="24"/>
          <w:szCs w:val="24"/>
        </w:rPr>
        <w:t>Комиссию по проведению оценки обеспечения готовности к отопительному периоду 2026 – 2027 годов потребителей тепловой энергии, у которых договоры теплоснабжения заключены в соответствии с жилищным законодательством, управляющих организаций,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(при условии осуществления ими деятельности по управлению многоквартирными домами), лиц, осуществляющих содержание и (или) выполняющих работы по ремонту общего имущества в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целях надлежащего содержания и (или) ремонта внутридомовой системы отопления в многоквартирном доме, председателя совета многоквартирного дома в случае, если собственниками помещений в многоквартирном доме не принято решение о заключении договоров в соответствии с частью 1 статьи 164 Жилищного кодекса Российской Федерации, муниципального образования в случае, если способ управления многоквартирным домом не выбран или выбранный способ управления не реализован, в составе</w:t>
      </w:r>
      <w:proofErr w:type="gramEnd"/>
      <w:r>
        <w:rPr>
          <w:rFonts w:ascii="Arial" w:hAnsi="Arial" w:cs="Arial"/>
          <w:sz w:val="24"/>
          <w:szCs w:val="24"/>
        </w:rPr>
        <w:t xml:space="preserve"> согласно приложению № 3.</w:t>
      </w:r>
    </w:p>
    <w:p w:rsidR="00381A3E" w:rsidRDefault="00D0724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 Утвердить Положение о комиссиях по проведению оценки обеспечения готовности к отопительному периоду 2026 – 2027 годов согласно приложению № 4.</w:t>
      </w:r>
    </w:p>
    <w:p w:rsidR="00381A3E" w:rsidRDefault="00D0724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Признать утратившим силу постановление Администрации Рыбинского муниципального округа от 17.07.2026 № 741-п «О комиссиях по проведению оценки обеспечения готовности к отопительному периоду 2026 – 2027 годов».</w:t>
      </w:r>
    </w:p>
    <w:p w:rsidR="00381A3E" w:rsidRDefault="00D0724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381A3E" w:rsidRDefault="00D0724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Опубликовать настоящее постановление в газетах «Голос времени», «Бородинский вестник», разместить на официальном сайте Рыбинского муниципального округа Красноярского края в информационно-телекоммуникационной сети «Интернет» https://rmo-24.gosuslugi.ru.</w:t>
      </w:r>
    </w:p>
    <w:p w:rsidR="00381A3E" w:rsidRDefault="00D0724A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Постановление вступает в силу со дня подписания.</w:t>
      </w:r>
    </w:p>
    <w:p w:rsidR="00381A3E" w:rsidRDefault="00381A3E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381A3E" w:rsidRDefault="00381A3E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381A3E" w:rsidRDefault="00D0724A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А.Н. Мишин</w:t>
      </w:r>
    </w:p>
    <w:p w:rsidR="00381A3E" w:rsidRDefault="00D0724A">
      <w:pPr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</w:p>
    <w:p w:rsidR="00381A3E" w:rsidRDefault="00381A3E">
      <w:pPr>
        <w:pStyle w:val="ConsPlusNonformat"/>
        <w:widowControl/>
        <w:jc w:val="center"/>
        <w:rPr>
          <w:rFonts w:ascii="Arial" w:hAnsi="Arial" w:cs="Arial"/>
          <w:color w:val="FF0000"/>
          <w:sz w:val="24"/>
          <w:szCs w:val="24"/>
        </w:rPr>
        <w:sectPr w:rsidR="00381A3E">
          <w:pgSz w:w="11906" w:h="16838"/>
          <w:pgMar w:top="1134" w:right="851" w:bottom="1134" w:left="1701" w:header="0" w:footer="0" w:gutter="0"/>
          <w:pgNumType w:start="1"/>
          <w:cols w:space="720"/>
          <w:formProt w:val="0"/>
          <w:titlePg/>
          <w:docGrid w:linePitch="360"/>
        </w:sectPr>
      </w:pP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Приложение № 1</w:t>
      </w: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  <w:r w:rsidR="00431550" w:rsidRPr="00431550">
        <w:pict>
          <v:shape id="Shape3" o:spid="_x0000_s1029" type="#_x0000_t75" style="position:absolute;margin-left:0;margin-top:0;width:198.4pt;height:28.3pt;z-index:25165772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</w:p>
    <w:p w:rsidR="00381A3E" w:rsidRDefault="00381A3E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81A3E" w:rsidRDefault="00D0724A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Состав комиссии по проведению оценки обеспечения готовности</w:t>
      </w:r>
    </w:p>
    <w:p w:rsidR="00381A3E" w:rsidRDefault="00D0724A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отопительному периоду 2026 – 2027 годов теплоснабжающих организаций, имеющих статус единой теплоснабжающей организации</w:t>
      </w:r>
    </w:p>
    <w:p w:rsidR="00381A3E" w:rsidRDefault="00381A3E">
      <w:pPr>
        <w:widowControl w:val="0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81A3E" w:rsidRDefault="00381A3E">
      <w:pPr>
        <w:widowControl w:val="0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tbl>
      <w:tblPr>
        <w:tblW w:w="9517" w:type="dxa"/>
        <w:tblInd w:w="447" w:type="dxa"/>
        <w:tblLayout w:type="fixed"/>
        <w:tblCellMar>
          <w:left w:w="149" w:type="dxa"/>
          <w:right w:w="149" w:type="dxa"/>
        </w:tblCellMar>
        <w:tblLook w:val="04A0"/>
      </w:tblPr>
      <w:tblGrid>
        <w:gridCol w:w="3251"/>
        <w:gridCol w:w="318"/>
        <w:gridCol w:w="5916"/>
        <w:gridCol w:w="32"/>
      </w:tblGrid>
      <w:tr w:rsidR="00381A3E"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Гуменюк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Александр Степанович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обеспечению жизнедеятельности территории,</w:t>
            </w:r>
          </w:p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Комиссии;</w:t>
            </w:r>
          </w:p>
          <w:p w:rsidR="00381A3E" w:rsidRDefault="00381A3E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1A3E"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Медведева Александра Михайловна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жилищно-коммунального хозяйства, заместитель председателя Комиссии;</w:t>
            </w:r>
          </w:p>
          <w:p w:rsidR="00381A3E" w:rsidRDefault="00381A3E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1A3E"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Ващенко Андрей Владимирович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отдела жилищно-коммунального хозяйства, секретарь Комиссии;</w:t>
            </w:r>
          </w:p>
          <w:p w:rsidR="00381A3E" w:rsidRDefault="00381A3E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1A3E">
        <w:tc>
          <w:tcPr>
            <w:tcW w:w="9485" w:type="dxa"/>
            <w:gridSpan w:val="3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  <w:p w:rsidR="00381A3E" w:rsidRDefault="00381A3E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" w:type="dxa"/>
            <w:tcMar>
              <w:left w:w="0" w:type="dxa"/>
              <w:right w:w="0" w:type="dxa"/>
            </w:tcMar>
          </w:tcPr>
          <w:p w:rsidR="00381A3E" w:rsidRDefault="00381A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1A3E"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Ермакова Татьяна Владимировна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имущественных отношений Управления имущественных, земельных отношений, градостроительства и архитектуры;</w:t>
            </w:r>
          </w:p>
          <w:p w:rsidR="00381A3E" w:rsidRDefault="00381A3E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1A3E"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Пиро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Андрей Васильевич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государственный инспектор отдела по надзору в сфере электроэнергетики Енисейского управления Федеральной службы по экологическому, технологическому и атомному надзору (по согласованию);</w:t>
            </w:r>
          </w:p>
          <w:p w:rsidR="00381A3E" w:rsidRDefault="00381A3E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81A3E"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Голубева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государственный инспектор отдела по надзору в сфере теплоэнергетики Енисейского управления Федеральной службы по экологическому, технологическому и атомному надзору (по согласованию).</w:t>
            </w:r>
          </w:p>
        </w:tc>
      </w:tr>
    </w:tbl>
    <w:p w:rsidR="00381A3E" w:rsidRDefault="00381A3E">
      <w:pPr>
        <w:sectPr w:rsidR="00381A3E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docGrid w:linePitch="360"/>
        </w:sectPr>
      </w:pP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Приложение № 2</w:t>
      </w: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 </w:t>
      </w:r>
      <w:r w:rsidR="00431550" w:rsidRPr="00431550">
        <w:pict>
          <v:shape id="Shape4" o:spid="_x0000_s1028" type="#_x0000_t75" style="position:absolute;margin-left:0;margin-top:0;width:198.4pt;height:28.3pt;z-index:25165875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</w:t>
      </w:r>
    </w:p>
    <w:p w:rsidR="00381A3E" w:rsidRDefault="00381A3E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81A3E" w:rsidRDefault="00381A3E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81A3E" w:rsidRDefault="00D0724A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Состав комиссии по проведению оценки обеспечения готовности</w:t>
      </w:r>
    </w:p>
    <w:p w:rsidR="00381A3E" w:rsidRDefault="00D0724A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отопительному периоду 2026 – 2027 годов потребителей тепловой энергии, за исключением потребителей тепловой энергии, у которых договоры теплоснабжения заключены в соответствии с жилищным законодательством</w:t>
      </w:r>
    </w:p>
    <w:p w:rsidR="00381A3E" w:rsidRDefault="00381A3E">
      <w:pPr>
        <w:widowControl w:val="0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tbl>
      <w:tblPr>
        <w:tblW w:w="9517" w:type="dxa"/>
        <w:tblInd w:w="447" w:type="dxa"/>
        <w:tblLayout w:type="fixed"/>
        <w:tblCellMar>
          <w:left w:w="149" w:type="dxa"/>
          <w:right w:w="149" w:type="dxa"/>
        </w:tblCellMar>
        <w:tblLook w:val="04A0"/>
      </w:tblPr>
      <w:tblGrid>
        <w:gridCol w:w="3251"/>
        <w:gridCol w:w="318"/>
        <w:gridCol w:w="5916"/>
        <w:gridCol w:w="32"/>
      </w:tblGrid>
      <w:tr w:rsidR="00381A3E">
        <w:trPr>
          <w:trHeight w:val="935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Гуменюк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Александр Степанович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обеспечению жизнедеятельности территории,</w:t>
            </w:r>
          </w:p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Комиссии;</w:t>
            </w:r>
          </w:p>
        </w:tc>
      </w:tr>
      <w:tr w:rsidR="00381A3E">
        <w:trPr>
          <w:trHeight w:val="978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Медведева Александра Михайловна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жилищно-коммунального хозяйства, заместитель председателя Комиссии;</w:t>
            </w:r>
          </w:p>
        </w:tc>
      </w:tr>
      <w:tr w:rsidR="00381A3E">
        <w:trPr>
          <w:trHeight w:val="728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Ващенко Андрей Владимирович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отдела жилищно-коммунального хозяйства, секретарь Комиссии;</w:t>
            </w:r>
          </w:p>
        </w:tc>
      </w:tr>
      <w:tr w:rsidR="00381A3E">
        <w:trPr>
          <w:trHeight w:val="426"/>
        </w:trPr>
        <w:tc>
          <w:tcPr>
            <w:tcW w:w="9485" w:type="dxa"/>
            <w:gridSpan w:val="3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32" w:type="dxa"/>
            <w:tcMar>
              <w:left w:w="0" w:type="dxa"/>
              <w:right w:w="0" w:type="dxa"/>
            </w:tcMar>
          </w:tcPr>
          <w:p w:rsidR="00381A3E" w:rsidRDefault="00381A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1A3E">
        <w:trPr>
          <w:trHeight w:val="1153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Ермакова Татьяна Владимировна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имущественных отношений Управления имущественных, земельных отношений, градостроительства и архитектуры;</w:t>
            </w:r>
          </w:p>
        </w:tc>
      </w:tr>
      <w:tr w:rsidR="00381A3E">
        <w:trPr>
          <w:trHeight w:val="1203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Назаренко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Бородинского участка по эксплуатации КУ и ТС Восточного филиала</w:t>
            </w:r>
          </w:p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КрасЭКо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(оценка обеспечения готовности потребителей в зоне действия ЕТО);</w:t>
            </w:r>
          </w:p>
        </w:tc>
      </w:tr>
      <w:tr w:rsidR="00381A3E">
        <w:trPr>
          <w:trHeight w:val="972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Бровкин Александр Николаевич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главного инженера Восточного филиала АО «КРАСЭКО 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912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Рембе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Вячеслав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Христианович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инженер ООО «СКК» 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628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Лифанский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Михаил Юрьевич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«Маяк»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</w:t>
            </w:r>
          </w:p>
        </w:tc>
      </w:tr>
      <w:tr w:rsidR="00381A3E">
        <w:trPr>
          <w:trHeight w:hRule="exact" w:val="709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Семеняк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Валерьевна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«СЛК»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1032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Захарченко Дмитрий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Сергееевич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ПО Саянское ГПКК «ЦРКК» 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990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Мучкин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директора по АХЧ КГБПОУ ТГР им. В.П. Астафьев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1137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Пономарев Александр Владимирович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 участка Филиала Рыбинский</w:t>
            </w:r>
          </w:p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Красноярскнефтепродукт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(оценка обеспечения готовности потребителей в зоне действия ЕТО).</w:t>
            </w:r>
          </w:p>
        </w:tc>
      </w:tr>
    </w:tbl>
    <w:p w:rsidR="00381A3E" w:rsidRDefault="00381A3E">
      <w:pPr>
        <w:sectPr w:rsidR="00381A3E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docGrid w:linePitch="360"/>
        </w:sectPr>
      </w:pP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Приложение № 3</w:t>
      </w: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zh-CN"/>
        </w:rPr>
        <w:t xml:space="preserve">  </w:t>
      </w:r>
      <w:r w:rsidR="00431550" w:rsidRPr="00431550">
        <w:pict>
          <v:shape id="Shape5" o:spid="_x0000_s1027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</w:p>
    <w:p w:rsidR="00381A3E" w:rsidRDefault="00381A3E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81A3E" w:rsidRDefault="00381A3E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81A3E" w:rsidRDefault="00D0724A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Состав комиссии по проведению оценки обеспечения готовности</w:t>
      </w:r>
    </w:p>
    <w:p w:rsidR="00381A3E" w:rsidRDefault="00D0724A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отопительному периоду 2026 – 2027 годов потребителей тепловой энергии, у которых договоры теплоснабжения заключены в соответствии с жилищным законодательством, управляющих организаций, товариществ собственников жилья, жилищных кооперативов, жилищно-строительных кооперативов или иных специализированных потребительских кооперативов (при условии осуществления ими деятельности по управлению многоквартирными домами), лиц, осуществляющих содержание и (или) выполняющих работы по ремонту общего имущества в целях надлежащего содержания и (или) ремонта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внутридомовой системы отопления в многоквартирном доме, председателя совета многоквартирного дома в случае, если собственниками помещений в многоквартирном доме не принято решение о заключении договоров в соответствии с частью 1 статьи 164 Жилищного кодекса Российской Федерации, муниципального образования в случае, если способ управления многоквартирным домом не выбран или выбранный способ управления не реализован</w:t>
      </w:r>
      <w:proofErr w:type="gramEnd"/>
    </w:p>
    <w:p w:rsidR="00381A3E" w:rsidRDefault="00381A3E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tbl>
      <w:tblPr>
        <w:tblW w:w="9517" w:type="dxa"/>
        <w:tblInd w:w="447" w:type="dxa"/>
        <w:tblLayout w:type="fixed"/>
        <w:tblCellMar>
          <w:left w:w="149" w:type="dxa"/>
          <w:right w:w="149" w:type="dxa"/>
        </w:tblCellMar>
        <w:tblLook w:val="04A0"/>
      </w:tblPr>
      <w:tblGrid>
        <w:gridCol w:w="3251"/>
        <w:gridCol w:w="318"/>
        <w:gridCol w:w="5916"/>
        <w:gridCol w:w="32"/>
      </w:tblGrid>
      <w:tr w:rsidR="00381A3E">
        <w:trPr>
          <w:trHeight w:val="935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Гуменюк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Александр Степанович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округа по обеспечению жизнедеятельности территории,</w:t>
            </w:r>
          </w:p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Комиссии;</w:t>
            </w:r>
          </w:p>
        </w:tc>
      </w:tr>
      <w:tr w:rsidR="00381A3E">
        <w:trPr>
          <w:trHeight w:val="978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Медведева Александра Михайловна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жилищно-коммунального хозяйства, заместитель председателя Комиссии;</w:t>
            </w:r>
          </w:p>
        </w:tc>
      </w:tr>
      <w:tr w:rsidR="00381A3E">
        <w:trPr>
          <w:trHeight w:val="815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Ващенко Андрей Владимирович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отдела жилищно-коммунального хозяйства, секретарь Комиссии;</w:t>
            </w:r>
          </w:p>
        </w:tc>
      </w:tr>
      <w:tr w:rsidR="00381A3E">
        <w:trPr>
          <w:trHeight w:val="453"/>
        </w:trPr>
        <w:tc>
          <w:tcPr>
            <w:tcW w:w="9485" w:type="dxa"/>
            <w:gridSpan w:val="3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</w:tc>
        <w:tc>
          <w:tcPr>
            <w:tcW w:w="32" w:type="dxa"/>
            <w:tcMar>
              <w:left w:w="0" w:type="dxa"/>
              <w:right w:w="0" w:type="dxa"/>
            </w:tcMar>
          </w:tcPr>
          <w:p w:rsidR="00381A3E" w:rsidRDefault="00381A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1A3E">
        <w:trPr>
          <w:trHeight w:val="1153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Ермакова Татьяна Владимировна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имущественных отношений Управления имущественных, земельных отношений, градостроительства и архитектуры;</w:t>
            </w:r>
          </w:p>
        </w:tc>
      </w:tr>
      <w:tr w:rsidR="00381A3E">
        <w:trPr>
          <w:trHeight w:val="1203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Назаренко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Бородинского участка по эксплуатации КУ и ТС Восточного филиала</w:t>
            </w:r>
          </w:p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КрасЭКо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(оценка обеспечения готовности потребителей в зоне действия ЕТО);</w:t>
            </w:r>
          </w:p>
        </w:tc>
      </w:tr>
      <w:tr w:rsidR="00381A3E">
        <w:trPr>
          <w:trHeight w:val="972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Бровкин Александр Николаевич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главного инженера Восточного филиала АО «КРАСЭКО 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912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Рембе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Вячеслав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Христианович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инженер ООО «СКК» 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628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Лифанский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Михаил Юрьевич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«Маяк»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709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Семеняк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Валерьевна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ООО «СЛК»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1032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Захарченко Дмитрий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Сергееевич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ПО Саянское ГПКК «ЦРКК» 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990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Мучкин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директора по АХЧ КГБПОУ ТГР им. В.П. Астафьева 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1137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Пономарев Александр Владимирович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 участка Филиала Рыбинский</w:t>
            </w:r>
          </w:p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Красноярскнефтепродукт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(оценка обеспечения готовности потребителей в зоне действия ЕТО);</w:t>
            </w:r>
          </w:p>
        </w:tc>
      </w:tr>
      <w:tr w:rsidR="00381A3E">
        <w:trPr>
          <w:trHeight w:hRule="exact" w:val="992"/>
        </w:trPr>
        <w:tc>
          <w:tcPr>
            <w:tcW w:w="3251" w:type="dxa"/>
            <w:shd w:val="clear" w:color="auto" w:fill="auto"/>
          </w:tcPr>
          <w:p w:rsidR="00381A3E" w:rsidRDefault="00D0724A">
            <w:pPr>
              <w:ind w:left="-57"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Попова Екатерина Анатольевна</w:t>
            </w:r>
          </w:p>
        </w:tc>
        <w:tc>
          <w:tcPr>
            <w:tcW w:w="318" w:type="dxa"/>
            <w:shd w:val="clear" w:color="auto" w:fill="auto"/>
          </w:tcPr>
          <w:p w:rsidR="00381A3E" w:rsidRDefault="00D0724A">
            <w:pPr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8" w:type="dxa"/>
            <w:gridSpan w:val="2"/>
            <w:shd w:val="clear" w:color="auto" w:fill="auto"/>
          </w:tcPr>
          <w:p w:rsidR="00381A3E" w:rsidRDefault="00D0724A">
            <w:pPr>
              <w:ind w:right="-57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государственный инспектор Службы строительного надзора и жилищного контроля Красноярского края.</w:t>
            </w:r>
          </w:p>
        </w:tc>
      </w:tr>
    </w:tbl>
    <w:p w:rsidR="00381A3E" w:rsidRDefault="00381A3E">
      <w:pPr>
        <w:sectPr w:rsidR="00381A3E">
          <w:pgSz w:w="11906" w:h="16838"/>
          <w:pgMar w:top="851" w:right="851" w:bottom="851" w:left="1701" w:header="0" w:footer="0" w:gutter="0"/>
          <w:pgNumType w:start="1"/>
          <w:cols w:space="720"/>
          <w:formProt w:val="0"/>
          <w:docGrid w:linePitch="360"/>
        </w:sectPr>
      </w:pP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Приложение № 4</w:t>
      </w: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постановлению Администрации Рыбинского муниципального округа Красноярского края</w:t>
      </w:r>
    </w:p>
    <w:p w:rsidR="00381A3E" w:rsidRDefault="00D0724A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  <w:r w:rsidR="00431550" w:rsidRPr="00431550">
        <w:pict>
          <v:shape id="Shape6" o:spid="_x0000_s1026" type="#_x0000_t75" style="position:absolute;margin-left:0;margin-top:0;width:198.4pt;height:28.3pt;z-index:25166080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</w:t>
      </w:r>
    </w:p>
    <w:p w:rsidR="00381A3E" w:rsidRDefault="00381A3E">
      <w:pPr>
        <w:widowControl w:val="0"/>
        <w:ind w:left="4678"/>
        <w:jc w:val="left"/>
        <w:outlineLvl w:val="0"/>
        <w:rPr>
          <w:rFonts w:ascii="Arial" w:eastAsia="Times New Roman" w:hAnsi="Arial" w:cs="Arial"/>
          <w:color w:val="FF0000"/>
          <w:sz w:val="24"/>
          <w:szCs w:val="24"/>
          <w:lang w:eastAsia="zh-CN"/>
        </w:rPr>
      </w:pPr>
    </w:p>
    <w:p w:rsidR="00381A3E" w:rsidRDefault="00381A3E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81A3E" w:rsidRDefault="00381A3E">
      <w:pPr>
        <w:widowControl w:val="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</w:p>
    <w:p w:rsidR="00381A3E" w:rsidRDefault="00D0724A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Положение о комиссиях по проведению оценки обеспечения готовности</w:t>
      </w:r>
    </w:p>
    <w:p w:rsidR="00381A3E" w:rsidRDefault="00D0724A">
      <w:pPr>
        <w:widowControl w:val="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к отопительному периоду 2026 – 2027 годов</w:t>
      </w:r>
    </w:p>
    <w:p w:rsidR="00381A3E" w:rsidRDefault="00D0724A">
      <w:pPr>
        <w:widowControl w:val="0"/>
        <w:spacing w:before="120" w:after="12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1. Общие положения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1.1. 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Комиссии по </w:t>
      </w:r>
      <w:r>
        <w:rPr>
          <w:rFonts w:ascii="Arial" w:eastAsia="CG Times" w:hAnsi="Arial" w:cs="Arial"/>
          <w:color w:val="000000"/>
          <w:sz w:val="24"/>
          <w:szCs w:val="24"/>
          <w:lang w:eastAsia="zh-CN"/>
        </w:rPr>
        <w:t xml:space="preserve">проведению оценки обеспечения готовности к отопительному периоду 2026 – 2027 годов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(далее − Комиссии) являются коллегиальными совещательными органами, образованными с целью проведения оценки обеспечения готовности </w:t>
      </w:r>
      <w:r>
        <w:rPr>
          <w:rFonts w:ascii="Arial" w:eastAsia="CG Times" w:hAnsi="Arial" w:cs="Arial"/>
          <w:color w:val="000000"/>
          <w:sz w:val="24"/>
          <w:szCs w:val="24"/>
          <w:lang w:eastAsia="zh-CN"/>
        </w:rPr>
        <w:t xml:space="preserve">к отопительному периоду 2026 – 2027 годов (далее −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оценка обеспечения готовности, отопительный период) лиц, перечисленных в пунктах 2 – 6 части 1 статьи 20 Федерального закона от 27.07.2010 № 190-ФЗ «О теплоснабжении», на территории Рыбинского муниципального округа Красноярского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края (далее – муниципальное образование).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1.2. Комиссии в своей деятельности руководствуются нормативными правовыми актами Российской Федерации, Красноярского края, настоящим Положением, а также программами проведения оценки обеспечения готовности к отопительному периоду (далее – Программы).</w:t>
      </w:r>
    </w:p>
    <w:p w:rsidR="00381A3E" w:rsidRDefault="00D0724A">
      <w:pPr>
        <w:widowControl w:val="0"/>
        <w:spacing w:before="120" w:after="12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2. Функции Комиссии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2.1. Комиссии: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1) устанавливают сроки проведения оценки обеспечения готовности, которые не должны превышать 30 календарных дней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с даты начала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оценки обеспечения готовности;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2) в срок не позднее, чем за 20 календарных дней до дня начала проведения оценки обеспечения готовности уведомляют о сроках проведения оценки обеспечения готовности посредством размещения на официальных сайтах уполномоченных органов в информационно-телекоммуникационной сети «Интернет» информации о начале проведения оценки обеспечения готовности и Программы (за исключением Программ лиц, подведомственных федеральным органам исполнительной власти в сфере обороны, обеспечения безопасности, государственной охраны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внешней разведки), а также посредством письменного уведомления каждого лица, подлежащего оценке обеспечения готовности, любым доступным способом, позволяющим подтвердить факт его получения;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3) проводят оценку обеспечения готовности лиц, подлежащих такой оценке в соответствии с утвержденной Программой, на предмет выполнения требований, установленных Правилами обеспечения готовности к отопительному периоду, утвержденными приказом Министерства энергетики Российской Федерации от 13.11.2024 № 2234 (далее – Правила), в том числе: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осуществляют сбор и рассмотрение документов, подтверждающих выполнение требований по обеспечению готовности к отопительному периоду, установленных пунктами 9 − 11 Правил (далее – Документы), а также заполненных лицами, подлежащими оценке обеспечения готовности, оценочных листов;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заполняют оценочные листы в части, относящейся к деятельности Комиссий;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направляют в единую теплоснабжающую организацию, в зону (зоны) деятельности которой входит соответствующая система (системы) теплоснабжения (далее – ЕТО), заполненные оценочные листы, а также Документы в целях проверки оценочных листов и осуществления расчета индекса готовности в отношении каждого объекта оценки обеспечения готовности;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запрашивают у лиц, в отношении которых проводится оценка обеспечения готовности, дополнительные документы (сведения), предусмотренные Правилами (при необходимости);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принимают решения о проведении осмотра объекта оценки обеспечения готовности (при необходимости);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устанавливают уровень готовности к отопительному периоду в отношении каждого объекта оценки обеспечения готовности на основании представленных ЕТО результатов проверки оценочных листов и произведенных ЕТО расчетов индекса готовности;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составляют акты оценки обеспечения готовности к отопительному периоду (далее – акты) и выдают паспорта обеспечения готовности к отопительному периоду (далее – паспорта) с соблюдением сроков, установленных пунктами 10, 13 (для актов) и пунктами 14, 15  (для паспортов) Порядка проведения оценки обеспечения готовности к отопительному периоду, утвержденного приказом Министерства энергетики Российской Федерации от 13.11.2024 № 2234 (далее – Порядок);</w:t>
      </w:r>
      <w:proofErr w:type="gramEnd"/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устанавливают срок устранения выявленных в ходе проведения оценки обеспечения готовности замечаний (при необходимости);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4) проводят повторную оценку обеспечения готовности на предмет устранения ранее выданных замечаний (при необходимости);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5) информируют уполномоченные органы о случаях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неустранения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 замечаний, указанных в акте, в установленный срок в соответствии с пунктом 17 Порядка (при необходимости).</w:t>
      </w:r>
    </w:p>
    <w:p w:rsidR="00381A3E" w:rsidRDefault="00D0724A">
      <w:pPr>
        <w:widowControl w:val="0"/>
        <w:spacing w:before="120" w:after="12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 Порядок организации и деятельности Комиссий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3.1. В состав каждой Комиссии входят: председатель, заместитель председателя, секретарь и иные члены Комиссии.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3.2. Состав каждой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3.3. Число членов каждой Комиссии, включая ее председателя и заместителя председателя, должно составлять не менее 5 человек.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3.4. Председатель Комиссии: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организует работу Комиссии, координирует ее деятельность;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утверждает Программу;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организует ведение протокола заседания Комиссии;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имеет право решающего голоса при голосовании на заседании Комиссии при равенстве голосов членов Комиссии;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определяет сроки выдачи паспортов.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3.5. В период отсутствия председателя Комиссии его полномочия исполняет заместитель председателя Комиссии.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3.6. Секретарь Комиссии: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осуществляет подготовку заседаний Комиссии;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информирует членов Комиссии о дате, месте и времени проведения заседания Комиссии любым доступным способом не менее чем за 2 дня до дня его проведения;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обеспечивает членов Комиссии информационными материалами по вопросам, вынесенным на рассмотрение Комиссии;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ведет протоколы заседаний Комиссии.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3.7. В период отсутствия секретаря Комиссии его полномочия исполняет иной член Комиссии по поручению председателя Комиссии.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3.8. Члены Комиссий обязаны: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лично участвовать в заседаниях Комиссии;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соблюдать установленные Комиссией ограничения на разглашение информации;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при возникновении прямой или косвенной личной заинтересованности, которая может привести к конфликту интересов при рассмотрении вопросов, вынесенных на рассмотрение Комиссией, сообщить об этом до начала заседания Комиссии.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3.9. Члены Комиссий имеют право: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участвовать в обсуждении вопросов, вынесенных на рассмотрение Комиссией;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– выражать в письменной форме особое мнение по отдельным рассмотренным Комиссией вопросам;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вносить предложения по изменению порядка деятельности Комиссии.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3.10. Основной формой деятельности Комиссий являются заседания, которые проводятся по мере необходимости.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3.11. Заседания Комиссий проводятся в очной форме </w:t>
      </w:r>
      <w:r>
        <w:rPr>
          <w:rFonts w:ascii="Arial" w:hAnsi="Arial" w:cs="Arial"/>
          <w:sz w:val="24"/>
          <w:szCs w:val="24"/>
          <w:lang w:eastAsia="ru-RU"/>
        </w:rPr>
        <w:t xml:space="preserve">посредством личного присутствия членов Комиссий по месту их проведения и (или) с использованием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видео-конференц-связи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о чем в протоколе заседания Комиссии делается соответствующая отметка.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3.12. Заседания Комиссий считаются правомочными, если на них присутствуют не менее половины от общего числа их членов, но в любом случае не менее 5 человек.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3.13. Решения Комиссий принимаются простым большинством голосов присутствующих на заседании, в том числе посредством использования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видео-конференц-связи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, членов Комиссий. Все члены Комиссий имеют при голосовании один голос.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ru-RU"/>
        </w:rPr>
        <w:t>При равенстве голосов решающим является голос председательствующего на заседании Комиссии.</w:t>
      </w:r>
    </w:p>
    <w:p w:rsidR="00381A3E" w:rsidRDefault="00D0724A">
      <w:pPr>
        <w:widowControl w:val="0"/>
        <w:ind w:firstLine="709"/>
        <w:outlineLvl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3.14. Решения Комиссий оформляются протоколом. Протоколы подписываются всеми членами Комиссий, принимавшими участие в заседании Комиссии, </w:t>
      </w: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 xml:space="preserve">в том числе посредством использования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видео-конференц-связи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.</w:t>
      </w:r>
    </w:p>
    <w:p w:rsidR="00381A3E" w:rsidRDefault="00D0724A">
      <w:pPr>
        <w:widowControl w:val="0"/>
        <w:ind w:firstLine="709"/>
        <w:outlineLvl w:val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3.15. Члены Комиссий, имеющие особое мнение по рассмотренным Комиссиями вопросам, вправе выразить его в письменной форме. Особое мнение прилагается к протоколу заседания Комиссии. При подписании протокола заседания Комиссии членом Комиссии, выразившим особое мнение, рядом с подписью ставится пометка «с особым мнением».</w:t>
      </w:r>
    </w:p>
    <w:p w:rsidR="00381A3E" w:rsidRDefault="00D0724A">
      <w:pPr>
        <w:widowControl w:val="0"/>
        <w:ind w:firstLine="709"/>
        <w:outlineLvl w:val="0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3.16. Документационное, информационное и организационно-техническое обеспечение деятельности Комиссий осуществляет администрация муниципального образования.</w:t>
      </w:r>
    </w:p>
    <w:p w:rsidR="00381A3E" w:rsidRDefault="00381A3E">
      <w:pPr>
        <w:pStyle w:val="ConsPlusNonformat"/>
        <w:widowControl/>
        <w:jc w:val="center"/>
        <w:rPr>
          <w:rFonts w:ascii="Arial" w:hAnsi="Arial" w:cs="Arial"/>
          <w:color w:val="BFBFBF" w:themeColor="background1" w:themeShade="BF"/>
          <w:sz w:val="24"/>
          <w:szCs w:val="24"/>
        </w:rPr>
      </w:pPr>
    </w:p>
    <w:sectPr w:rsidR="00381A3E" w:rsidSect="00381A3E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savePreviewPicture/>
  <w:compat/>
  <w:rsids>
    <w:rsidRoot w:val="00381A3E"/>
    <w:rsid w:val="00381A3E"/>
    <w:rsid w:val="00431550"/>
    <w:rsid w:val="00C42EA6"/>
    <w:rsid w:val="00D0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78"/>
    <w:pPr>
      <w:jc w:val="both"/>
    </w:pPr>
    <w:rPr>
      <w:rFonts w:ascii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qFormat/>
    <w:rsid w:val="00DB2BE6"/>
    <w:pPr>
      <w:keepNext/>
      <w:ind w:firstLine="709"/>
      <w:jc w:val="right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643E66"/>
    <w:rPr>
      <w:rFonts w:ascii="Calibri" w:eastAsia="Calibri" w:hAnsi="Calibri" w:cs="Times New Roman"/>
      <w:sz w:val="22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643E66"/>
    <w:rPr>
      <w:rFonts w:ascii="Calibri" w:eastAsia="Calibri" w:hAnsi="Calibri" w:cs="Times New Roman"/>
      <w:sz w:val="22"/>
    </w:rPr>
  </w:style>
  <w:style w:type="character" w:customStyle="1" w:styleId="2">
    <w:name w:val="Заголовок 2 Знак"/>
    <w:basedOn w:val="a0"/>
    <w:link w:val="Heading2"/>
    <w:qFormat/>
    <w:rsid w:val="00DB2BE6"/>
    <w:rPr>
      <w:rFonts w:eastAsia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semiHidden/>
    <w:qFormat/>
    <w:rsid w:val="00DB2BE6"/>
    <w:rPr>
      <w:rFonts w:ascii="Tahoma" w:eastAsia="Times New Roman" w:hAnsi="Tahoma" w:cs="Times New Roman"/>
      <w:sz w:val="16"/>
      <w:szCs w:val="16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DB2BE6"/>
    <w:rPr>
      <w:rFonts w:ascii="Calibri" w:eastAsia="Times New Roman" w:hAnsi="Calibri" w:cs="Times New Roman"/>
      <w:szCs w:val="24"/>
    </w:rPr>
  </w:style>
  <w:style w:type="character" w:customStyle="1" w:styleId="a7">
    <w:name w:val="Основной текст с отступом Знак"/>
    <w:basedOn w:val="a0"/>
    <w:link w:val="a8"/>
    <w:qFormat/>
    <w:rsid w:val="00DB2BE6"/>
    <w:rPr>
      <w:rFonts w:eastAsia="Times New Roman" w:cs="Times New Roman"/>
      <w:szCs w:val="24"/>
    </w:rPr>
  </w:style>
  <w:style w:type="character" w:styleId="a9">
    <w:name w:val="Hyperlink"/>
    <w:rsid w:val="00DB2BE6"/>
    <w:rPr>
      <w:color w:val="0000FF"/>
      <w:u w:val="single"/>
    </w:rPr>
  </w:style>
  <w:style w:type="character" w:styleId="aa">
    <w:name w:val="page number"/>
    <w:uiPriority w:val="99"/>
    <w:unhideWhenUsed/>
    <w:qFormat/>
    <w:rsid w:val="00DB2BE6"/>
  </w:style>
  <w:style w:type="character" w:customStyle="1" w:styleId="1">
    <w:name w:val="Заголовок №1_"/>
    <w:link w:val="10"/>
    <w:qFormat/>
    <w:rsid w:val="00DB2BE6"/>
    <w:rPr>
      <w:b/>
      <w:bCs/>
      <w:shd w:val="clear" w:color="auto" w:fill="FFFFFF"/>
    </w:rPr>
  </w:style>
  <w:style w:type="character" w:customStyle="1" w:styleId="31">
    <w:name w:val="Основной текст (3)_"/>
    <w:link w:val="32"/>
    <w:qFormat/>
    <w:rsid w:val="00DB2BE6"/>
    <w:rPr>
      <w:b/>
      <w:bCs/>
      <w:shd w:val="clear" w:color="auto" w:fill="FFFFFF"/>
    </w:rPr>
  </w:style>
  <w:style w:type="character" w:styleId="ab">
    <w:name w:val="annotation reference"/>
    <w:qFormat/>
    <w:rsid w:val="00DB2BE6"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sid w:val="00DB2BE6"/>
    <w:rPr>
      <w:rFonts w:eastAsia="Times New Roman" w:cs="Times New Roman"/>
      <w:sz w:val="20"/>
      <w:szCs w:val="20"/>
      <w:lang w:eastAsia="ru-RU"/>
    </w:rPr>
  </w:style>
  <w:style w:type="character" w:customStyle="1" w:styleId="ae">
    <w:name w:val="Тема примечания Знак"/>
    <w:basedOn w:val="ac"/>
    <w:link w:val="af"/>
    <w:qFormat/>
    <w:rsid w:val="00DB2BE6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1"/>
    <w:qFormat/>
    <w:rsid w:val="00DB2BE6"/>
    <w:rPr>
      <w:rFonts w:eastAsia="Times New Roman" w:cs="Times New Roman"/>
      <w:szCs w:val="24"/>
    </w:rPr>
  </w:style>
  <w:style w:type="character" w:customStyle="1" w:styleId="af2">
    <w:name w:val="Текст сноски Знак"/>
    <w:basedOn w:val="a0"/>
    <w:link w:val="FootnoteText"/>
    <w:qFormat/>
    <w:rsid w:val="00DB2BE6"/>
    <w:rPr>
      <w:rFonts w:eastAsia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qFormat/>
    <w:rsid w:val="00B34326"/>
    <w:rPr>
      <w:vertAlign w:val="superscript"/>
    </w:rPr>
  </w:style>
  <w:style w:type="character" w:customStyle="1" w:styleId="FootnoteReference">
    <w:name w:val="Footnote Reference"/>
    <w:rsid w:val="00381A3E"/>
    <w:rPr>
      <w:vertAlign w:val="superscript"/>
    </w:rPr>
  </w:style>
  <w:style w:type="paragraph" w:customStyle="1" w:styleId="Heading">
    <w:name w:val="Heading"/>
    <w:basedOn w:val="a"/>
    <w:next w:val="af1"/>
    <w:qFormat/>
    <w:rsid w:val="00B3432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1">
    <w:name w:val="Body Text"/>
    <w:basedOn w:val="a"/>
    <w:link w:val="af0"/>
    <w:rsid w:val="00DB2BE6"/>
    <w:pPr>
      <w:spacing w:after="120"/>
      <w:jc w:val="left"/>
    </w:pPr>
    <w:rPr>
      <w:rFonts w:ascii="Times New Roman" w:eastAsia="Times New Roman" w:hAnsi="Times New Roman"/>
      <w:sz w:val="24"/>
      <w:szCs w:val="24"/>
    </w:rPr>
  </w:style>
  <w:style w:type="paragraph" w:styleId="af3">
    <w:name w:val="List"/>
    <w:basedOn w:val="af1"/>
    <w:rsid w:val="00B34326"/>
    <w:rPr>
      <w:rFonts w:cs="Arial Unicode MS"/>
    </w:rPr>
  </w:style>
  <w:style w:type="paragraph" w:customStyle="1" w:styleId="Caption">
    <w:name w:val="Caption"/>
    <w:basedOn w:val="a"/>
    <w:qFormat/>
    <w:rsid w:val="00B3432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B34326"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rsid w:val="00B3432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onsPlusNonformat">
    <w:name w:val="ConsPlusNonformat"/>
    <w:uiPriority w:val="99"/>
    <w:qFormat/>
    <w:rsid w:val="00DD425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ameContents">
    <w:name w:val="Frame Contents"/>
    <w:basedOn w:val="a"/>
    <w:qFormat/>
    <w:rsid w:val="00DD4252"/>
    <w:pPr>
      <w:jc w:val="left"/>
    </w:pPr>
    <w:rPr>
      <w:rFonts w:ascii="Times New Roman" w:hAnsi="Times New Roman"/>
      <w:color w:val="00000A"/>
      <w:kern w:val="2"/>
      <w:sz w:val="20"/>
      <w:szCs w:val="20"/>
      <w:lang w:eastAsia="zh-CN"/>
    </w:rPr>
  </w:style>
  <w:style w:type="paragraph" w:customStyle="1" w:styleId="ConsPlusNormal">
    <w:name w:val="ConsPlusNormal"/>
    <w:qFormat/>
    <w:rsid w:val="00DD425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B34326"/>
  </w:style>
  <w:style w:type="paragraph" w:customStyle="1" w:styleId="Header">
    <w:name w:val="Header"/>
    <w:basedOn w:val="a"/>
    <w:link w:val="a3"/>
    <w:uiPriority w:val="99"/>
    <w:unhideWhenUsed/>
    <w:rsid w:val="00643E66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rsid w:val="00643E66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5"/>
    <w:semiHidden/>
    <w:qFormat/>
    <w:rsid w:val="00DB2BE6"/>
    <w:pPr>
      <w:jc w:val="left"/>
    </w:pPr>
    <w:rPr>
      <w:rFonts w:ascii="Tahoma" w:eastAsia="Times New Roman" w:hAnsi="Tahoma"/>
      <w:sz w:val="16"/>
      <w:szCs w:val="16"/>
    </w:rPr>
  </w:style>
  <w:style w:type="paragraph" w:styleId="30">
    <w:name w:val="Body Text Indent 3"/>
    <w:basedOn w:val="a"/>
    <w:link w:val="3"/>
    <w:uiPriority w:val="99"/>
    <w:qFormat/>
    <w:rsid w:val="00DB2BE6"/>
    <w:pPr>
      <w:widowControl w:val="0"/>
      <w:snapToGrid w:val="0"/>
      <w:ind w:firstLine="567"/>
    </w:pPr>
    <w:rPr>
      <w:rFonts w:eastAsia="Times New Roman"/>
      <w:sz w:val="24"/>
      <w:szCs w:val="24"/>
    </w:rPr>
  </w:style>
  <w:style w:type="paragraph" w:styleId="a8">
    <w:name w:val="Body Text Indent"/>
    <w:basedOn w:val="a"/>
    <w:link w:val="a7"/>
    <w:rsid w:val="00DB2BE6"/>
    <w:pPr>
      <w:spacing w:after="120"/>
      <w:ind w:left="283"/>
      <w:jc w:val="left"/>
    </w:pPr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DB2BE6"/>
    <w:pPr>
      <w:spacing w:after="200" w:line="276" w:lineRule="auto"/>
      <w:ind w:left="720"/>
      <w:contextualSpacing/>
      <w:jc w:val="left"/>
    </w:pPr>
  </w:style>
  <w:style w:type="paragraph" w:styleId="af5">
    <w:name w:val="No Spacing"/>
    <w:uiPriority w:val="1"/>
    <w:qFormat/>
    <w:rsid w:val="00DB2BE6"/>
    <w:rPr>
      <w:rFonts w:eastAsia="Times New Roman" w:cs="Times New Roman"/>
      <w:szCs w:val="24"/>
      <w:lang w:eastAsia="ru-RU"/>
    </w:rPr>
  </w:style>
  <w:style w:type="paragraph" w:customStyle="1" w:styleId="10">
    <w:name w:val="Заголовок №1"/>
    <w:basedOn w:val="a"/>
    <w:link w:val="1"/>
    <w:qFormat/>
    <w:rsid w:val="00DB2BE6"/>
    <w:pPr>
      <w:widowControl w:val="0"/>
      <w:shd w:val="clear" w:color="auto" w:fill="FFFFFF"/>
      <w:spacing w:before="360" w:line="274" w:lineRule="exact"/>
      <w:jc w:val="left"/>
      <w:outlineLvl w:val="0"/>
    </w:pPr>
    <w:rPr>
      <w:rFonts w:ascii="Times New Roman" w:hAnsi="Times New Roman" w:cstheme="minorBidi"/>
      <w:b/>
      <w:bCs/>
      <w:sz w:val="24"/>
    </w:rPr>
  </w:style>
  <w:style w:type="paragraph" w:customStyle="1" w:styleId="32">
    <w:name w:val="Основной текст (3)"/>
    <w:basedOn w:val="a"/>
    <w:link w:val="31"/>
    <w:qFormat/>
    <w:rsid w:val="00DB2BE6"/>
    <w:pPr>
      <w:widowControl w:val="0"/>
      <w:shd w:val="clear" w:color="auto" w:fill="FFFFFF"/>
      <w:spacing w:after="240" w:line="274" w:lineRule="exact"/>
      <w:jc w:val="center"/>
    </w:pPr>
    <w:rPr>
      <w:rFonts w:ascii="Times New Roman" w:hAnsi="Times New Roman" w:cstheme="minorBidi"/>
      <w:b/>
      <w:bCs/>
      <w:sz w:val="24"/>
    </w:rPr>
  </w:style>
  <w:style w:type="paragraph" w:styleId="ad">
    <w:name w:val="annotation text"/>
    <w:basedOn w:val="a"/>
    <w:link w:val="ac"/>
    <w:qFormat/>
    <w:rsid w:val="00DB2BE6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qFormat/>
    <w:rsid w:val="00DB2BE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B2BE6"/>
    <w:pPr>
      <w:widowControl w:val="0"/>
      <w:jc w:val="left"/>
    </w:pPr>
    <w:rPr>
      <w:rFonts w:ascii="Times New Roman" w:eastAsia="Times New Roman" w:hAnsi="Times New Roman"/>
    </w:rPr>
  </w:style>
  <w:style w:type="paragraph" w:customStyle="1" w:styleId="FootnoteText">
    <w:name w:val="Footnote Text"/>
    <w:basedOn w:val="a"/>
    <w:link w:val="af2"/>
    <w:rsid w:val="00DB2BE6"/>
    <w:pPr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table" w:styleId="af6">
    <w:name w:val="Table Grid"/>
    <w:basedOn w:val="a1"/>
    <w:uiPriority w:val="59"/>
    <w:rsid w:val="00DB2BE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9B40E-7E69-43BD-B261-4787B76E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2577</Words>
  <Characters>14694</Characters>
  <Application>Microsoft Office Word</Application>
  <DocSecurity>0</DocSecurity>
  <Lines>122</Lines>
  <Paragraphs>34</Paragraphs>
  <ScaleCrop>false</ScaleCrop>
  <Company>office 2007 rus ent:</Company>
  <LinksUpToDate>false</LinksUpToDate>
  <CharactersWithSpaces>17237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Приёмная</cp:lastModifiedBy>
  <cp:revision>3</cp:revision>
  <cp:lastPrinted>2026-08-20T01:27:00Z</cp:lastPrinted>
  <dcterms:created xsi:type="dcterms:W3CDTF">2026-08-17T09:55:00Z</dcterms:created>
  <dcterms:modified xsi:type="dcterms:W3CDTF">2026-08-20T01:29:00Z</dcterms:modified>
  <dc:language>ru-RU</dc:language>
</cp:coreProperties>
</file>